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安徽省特殊教育中专学校综合楼天井院铺设塑胶地垫项目</w:t>
      </w:r>
      <w:r>
        <w:rPr>
          <w:rFonts w:hint="eastAsia"/>
          <w:sz w:val="32"/>
          <w:szCs w:val="32"/>
        </w:rPr>
        <w:t>报价函</w:t>
      </w:r>
    </w:p>
    <w:p>
      <w:pPr>
        <w:ind w:firstLine="560" w:firstLineChars="200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</w:t>
      </w:r>
      <w:r>
        <w:rPr>
          <w:rFonts w:hint="eastAsia" w:asciiTheme="minorEastAsia" w:hAnsiTheme="minorEastAsia"/>
          <w:sz w:val="28"/>
          <w:szCs w:val="28"/>
        </w:rPr>
        <w:t>学校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关于我单位参与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安徽省特殊教育中专学校综合楼天井院铺设塑胶地垫项目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报价及承若</w:t>
      </w:r>
      <w:r>
        <w:rPr>
          <w:rFonts w:hint="eastAsia"/>
          <w:sz w:val="28"/>
          <w:szCs w:val="28"/>
        </w:rPr>
        <w:t>承诺</w:t>
      </w:r>
      <w:bookmarkStart w:id="0" w:name="_GoBack"/>
      <w:bookmarkEnd w:id="0"/>
      <w:r>
        <w:rPr>
          <w:rFonts w:hint="eastAsia"/>
          <w:sz w:val="28"/>
          <w:szCs w:val="28"/>
        </w:rPr>
        <w:t>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3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(含税，元)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</w:pPr>
      <w:r>
        <w:rPr>
          <w:rFonts w:asciiTheme="minorEastAsia" w:hAnsiTheme="minorEastAsia"/>
          <w:szCs w:val="21"/>
        </w:rPr>
        <w:t>后附营业执照</w:t>
      </w:r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9BE"/>
    <w:rsid w:val="09D47DDD"/>
    <w:rsid w:val="0AC55747"/>
    <w:rsid w:val="1A88260B"/>
    <w:rsid w:val="2204190D"/>
    <w:rsid w:val="233053AD"/>
    <w:rsid w:val="49733506"/>
    <w:rsid w:val="4F297227"/>
    <w:rsid w:val="607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刘晓立</dc:creator>
  <cp:lastModifiedBy>spring1384588943</cp:lastModifiedBy>
  <dcterms:modified xsi:type="dcterms:W3CDTF">2021-11-26T00:53:00Z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906F092B750443A8B356EE88DDEA6783</vt:lpwstr>
  </property>
</Properties>
</file>