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安徽省特殊教育中专学校校园围墙加装防攀爬网项目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关于我单位于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sz w:val="28"/>
          <w:szCs w:val="28"/>
        </w:rPr>
        <w:t>参与的</w:t>
      </w:r>
      <w:r>
        <w:rPr>
          <w:rFonts w:hint="eastAsia"/>
          <w:sz w:val="28"/>
          <w:szCs w:val="28"/>
          <w:lang w:val="en-US" w:eastAsia="zh-CN"/>
        </w:rPr>
        <w:t>安徽省特殊教育中专学校校园围墙加装防攀爬网项目</w:t>
      </w:r>
      <w:r>
        <w:rPr>
          <w:rFonts w:hint="eastAsia"/>
          <w:sz w:val="28"/>
          <w:szCs w:val="28"/>
        </w:rPr>
        <w:t>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3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投标人：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日期：2019年11月日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资质证书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asciiTheme="minorEastAsia" w:hAnsiTheme="minorEastAsia"/>
          <w:szCs w:val="21"/>
        </w:rPr>
        <w:t>授权委托书</w:t>
      </w:r>
      <w:r>
        <w:rPr>
          <w:rFonts w:hint="eastAsia" w:asciiTheme="minorEastAsia" w:hAnsiTheme="minorEastAsia"/>
          <w:szCs w:val="21"/>
        </w:rPr>
        <w:t>。</w:t>
      </w:r>
    </w:p>
    <w:p>
      <w:pPr>
        <w:widowControl/>
        <w:jc w:val="left"/>
      </w:pPr>
      <w:r>
        <w:rPr>
          <w:rFonts w:asciiTheme="minorEastAsia" w:hAnsiTheme="minorEastAsia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1A88260B"/>
    <w:rsid w:val="607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acer1</cp:lastModifiedBy>
  <dcterms:modified xsi:type="dcterms:W3CDTF">2020-03-18T02:54:04Z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